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325"/>
      </w:tblGrid>
      <w:tr>
        <w:tc>
          <w:tcPr>
            <w:tcW w:type="dxa" w:w="10325"/>
            <w:shd w:fill="0F172A"/>
            <w:tcMar>
              <w:top w:w="80" w:type="dxa"/>
              <w:start w:w="200" w:type="dxa"/>
              <w:bottom w:w="80" w:type="dxa"/>
              <w:end w:w="200" w:type="dxa"/>
            </w:tcMar>
          </w:tcPr>
          <w:p>
            <w:pPr>
              <w:jc w:val="center"/>
            </w:pPr>
            <w:r>
              <w:rPr>
                <w:rFonts w:ascii="Aptos" w:hAnsi="Aptos"/>
                <w:b/>
                <w:color w:val="FFFFFF"/>
                <w:sz w:val="42"/>
              </w:rPr>
              <w:t>Tony Zaarour</w:t>
            </w:r>
          </w:p>
        </w:tc>
      </w:tr>
      <w:tr>
        <w:tc>
          <w:tcPr>
            <w:tcW w:type="dxa" w:w="10325"/>
            <w:shd w:fill="0F172A"/>
            <w:tcMar>
              <w:top w:w="80" w:type="dxa"/>
              <w:start w:w="200" w:type="dxa"/>
              <w:bottom w:w="80" w:type="dxa"/>
              <w:end w:w="200" w:type="dxa"/>
            </w:tcMar>
          </w:tcPr>
          <w:p>
            <w:pPr>
              <w:jc w:val="center"/>
            </w:pPr>
            <w:r>
              <w:rPr>
                <w:rFonts w:ascii="Aptos" w:hAnsi="Aptos"/>
                <w:b w:val="0"/>
                <w:color w:val="FFFFFF"/>
                <w:sz w:val="21"/>
              </w:rPr>
              <w:t>Sydney, Australia | Open to contract and consulting engagements</w:t>
            </w:r>
          </w:p>
        </w:tc>
      </w:tr>
      <w:tr>
        <w:tc>
          <w:tcPr>
            <w:tcW w:type="dxa" w:w="10325"/>
            <w:shd w:fill="0F172A"/>
            <w:tcMar>
              <w:top w:w="80" w:type="dxa"/>
              <w:start w:w="200" w:type="dxa"/>
              <w:bottom w:w="80" w:type="dxa"/>
              <w:end w:w="200" w:type="dxa"/>
            </w:tcMar>
          </w:tcPr>
          <w:p>
            <w:pPr>
              <w:jc w:val="center"/>
            </w:pPr>
            <w:r>
              <w:rPr>
                <w:rFonts w:ascii="Aptos" w:hAnsi="Aptos"/>
                <w:b w:val="0"/>
                <w:color w:val="DCE4EE"/>
                <w:sz w:val="18"/>
              </w:rPr>
              <w:t>0469890978 | Tonyzaarour11@gmail.com | https://www.linkedin.com/in/tonyzaarour/</w:t>
            </w:r>
          </w:p>
        </w:tc>
      </w:tr>
    </w:tbl>
    <w:p/>
    <w:p>
      <w:pPr>
        <w:spacing w:before="120" w:after="60"/>
        <w:pBdr>
          <w:bottom w:val="single" w:sz="6" w:space="1" w:color="E2E8F0"/>
        </w:pBdr>
      </w:pPr>
      <w:r>
        <w:rPr>
          <w:rFonts w:ascii="Aptos" w:hAnsi="Aptos"/>
          <w:b/>
          <w:color w:val="A37A2C"/>
          <w:sz w:val="18"/>
        </w:rPr>
        <w:t>PROFESSIONAL SUMMARY</w:t>
      </w:r>
    </w:p>
    <w:p>
      <w:pPr>
        <w:spacing w:after="120" w:line="276" w:lineRule="auto"/>
      </w:pPr>
      <w:r>
        <w:rPr>
          <w:rFonts w:ascii="Aptos" w:hAnsi="Aptos"/>
          <w:b w:val="0"/>
          <w:color w:val="334155"/>
          <w:sz w:val="20"/>
        </w:rPr>
        <w:t>Cloud Platform Architect / Senior Platform Consultant with hands-on experience improving AWS platforms in regulated and enterprise environments. I usually get pulled into estates that have delivery friction, weak governance, messy operating boundaries, cost leakage, or workloads that have outgrown their original design.</w:t>
      </w:r>
    </w:p>
    <w:p>
      <w:pPr>
        <w:spacing w:before="120" w:after="60"/>
        <w:pBdr>
          <w:bottom w:val="single" w:sz="6" w:space="1" w:color="E2E8F0"/>
        </w:pBdr>
      </w:pPr>
      <w:r>
        <w:rPr>
          <w:rFonts w:ascii="Aptos" w:hAnsi="Aptos"/>
          <w:b/>
          <w:color w:val="A37A2C"/>
          <w:sz w:val="18"/>
        </w:rPr>
        <w:t>SELECTED IMPACT</w:t>
      </w:r>
    </w:p>
    <w:p>
      <w:pPr>
        <w:pStyle w:val="ListBullet"/>
        <w:spacing w:after="30" w:line="252" w:lineRule="auto"/>
      </w:pPr>
      <w:r>
        <w:rPr>
          <w:rFonts w:ascii="Aptos" w:hAnsi="Aptos"/>
          <w:b w:val="0"/>
          <w:color w:val="334155"/>
          <w:sz w:val="20"/>
        </w:rPr>
        <w:t>Improved governance and compliance execution through guardrails, reporting, and control redesign.</w:t>
      </w:r>
    </w:p>
    <w:p>
      <w:pPr>
        <w:pStyle w:val="ListBullet"/>
        <w:spacing w:after="30" w:line="252" w:lineRule="auto"/>
      </w:pPr>
      <w:r>
        <w:rPr>
          <w:rFonts w:ascii="Aptos" w:hAnsi="Aptos"/>
          <w:b w:val="0"/>
          <w:color w:val="334155"/>
          <w:sz w:val="20"/>
        </w:rPr>
        <w:t>Delivered material annual AWS savings through commitment optimisation and platform cost control.</w:t>
      </w:r>
    </w:p>
    <w:p>
      <w:pPr>
        <w:pStyle w:val="ListBullet"/>
        <w:spacing w:after="30" w:line="252" w:lineRule="auto"/>
      </w:pPr>
      <w:r>
        <w:rPr>
          <w:rFonts w:ascii="Aptos" w:hAnsi="Aptos"/>
          <w:b w:val="0"/>
          <w:color w:val="334155"/>
          <w:sz w:val="20"/>
        </w:rPr>
        <w:t>Re-architected resource-heavy workloads into event-driven ECS standalone tasks to improve scalability, isolation, and maintainability.</w:t>
      </w:r>
    </w:p>
    <w:p>
      <w:pPr>
        <w:pStyle w:val="ListBullet"/>
        <w:spacing w:after="30" w:line="252" w:lineRule="auto"/>
      </w:pPr>
      <w:r>
        <w:rPr>
          <w:rFonts w:ascii="Aptos" w:hAnsi="Aptos"/>
          <w:b w:val="0"/>
          <w:color w:val="334155"/>
          <w:sz w:val="20"/>
        </w:rPr>
        <w:t>Reduced website dropouts for Australian Museum from roughly 20 per day to zero through targeted performance and architecture changes.</w:t>
      </w:r>
    </w:p>
    <w:p>
      <w:pPr>
        <w:spacing w:before="120" w:after="60"/>
        <w:pBdr>
          <w:bottom w:val="single" w:sz="6" w:space="1" w:color="E2E8F0"/>
        </w:pBdr>
      </w:pPr>
      <w:r>
        <w:rPr>
          <w:rFonts w:ascii="Aptos" w:hAnsi="Aptos"/>
          <w:b/>
          <w:color w:val="A37A2C"/>
          <w:sz w:val="18"/>
        </w:rPr>
        <w:t>CORE STRENGTHS</w:t>
      </w:r>
    </w:p>
    <w:p>
      <w:pPr>
        <w:pStyle w:val="ListBullet"/>
        <w:spacing w:after="30" w:line="252" w:lineRule="auto"/>
      </w:pPr>
      <w:r>
        <w:rPr>
          <w:rFonts w:ascii="Aptos" w:hAnsi="Aptos"/>
          <w:b w:val="0"/>
          <w:color w:val="334155"/>
          <w:sz w:val="20"/>
        </w:rPr>
        <w:t>Platform governance uplift and control-model redesign</w:t>
      </w:r>
    </w:p>
    <w:p>
      <w:pPr>
        <w:pStyle w:val="ListBullet"/>
        <w:spacing w:after="30" w:line="252" w:lineRule="auto"/>
      </w:pPr>
      <w:r>
        <w:rPr>
          <w:rFonts w:ascii="Aptos" w:hAnsi="Aptos"/>
          <w:b w:val="0"/>
          <w:color w:val="334155"/>
          <w:sz w:val="20"/>
        </w:rPr>
        <w:t>AWS cost control and commitment optimisation</w:t>
      </w:r>
    </w:p>
    <w:p>
      <w:pPr>
        <w:pStyle w:val="ListBullet"/>
        <w:spacing w:after="30" w:line="252" w:lineRule="auto"/>
      </w:pPr>
      <w:r>
        <w:rPr>
          <w:rFonts w:ascii="Aptos" w:hAnsi="Aptos"/>
          <w:b w:val="0"/>
          <w:color w:val="334155"/>
          <w:sz w:val="20"/>
        </w:rPr>
        <w:t>Event-driven and container-based workload modernisation</w:t>
      </w:r>
    </w:p>
    <w:p>
      <w:pPr>
        <w:pStyle w:val="ListBullet"/>
        <w:spacing w:after="30" w:line="252" w:lineRule="auto"/>
      </w:pPr>
      <w:r>
        <w:rPr>
          <w:rFonts w:ascii="Aptos" w:hAnsi="Aptos"/>
          <w:b w:val="0"/>
          <w:color w:val="334155"/>
          <w:sz w:val="20"/>
        </w:rPr>
        <w:t>Automation, CI/CD, and platform tooling improvement</w:t>
      </w:r>
    </w:p>
    <w:p>
      <w:pPr>
        <w:pStyle w:val="ListBullet"/>
        <w:spacing w:after="30" w:line="252" w:lineRule="auto"/>
      </w:pPr>
      <w:r>
        <w:rPr>
          <w:rFonts w:ascii="Aptos" w:hAnsi="Aptos"/>
          <w:b w:val="0"/>
          <w:color w:val="334155"/>
          <w:sz w:val="20"/>
        </w:rPr>
        <w:t>Technical assessment, remediation planning, and handover</w:t>
      </w:r>
    </w:p>
    <w:p>
      <w:pPr>
        <w:spacing w:before="120" w:after="60"/>
        <w:pBdr>
          <w:bottom w:val="single" w:sz="6" w:space="1" w:color="E2E8F0"/>
        </w:pBdr>
      </w:pPr>
      <w:r>
        <w:rPr>
          <w:rFonts w:ascii="Aptos" w:hAnsi="Aptos"/>
          <w:b/>
          <w:color w:val="A37A2C"/>
          <w:sz w:val="18"/>
        </w:rPr>
        <w:t>TECHNOLOGY</w:t>
      </w: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5162"/>
        <w:gridCol w:w="5162"/>
      </w:tblGrid>
      <w:tr>
        <w:tc>
          <w:tcPr>
            <w:tcW w:type="dxa" w:w="2232"/>
            <w:tcMar>
              <w:top w:w="50" w:type="dxa"/>
              <w:start w:w="60" w:type="dxa"/>
              <w:bottom w:w="50" w:type="dxa"/>
              <w:end w:w="80" w:type="dxa"/>
            </w:tcMar>
          </w:tcPr>
          <w:p>
            <w:r>
              <w:rPr>
                <w:rFonts w:ascii="Aptos" w:hAnsi="Aptos"/>
                <w:b/>
                <w:color w:val="0F172A"/>
                <w:sz w:val="18"/>
              </w:rPr>
              <w:t>Cloud</w:t>
            </w:r>
          </w:p>
        </w:tc>
        <w:tc>
          <w:tcPr>
            <w:tcW w:type="dxa" w:w="8208"/>
            <w:tcMar>
              <w:top w:w="50" w:type="dxa"/>
              <w:start w:w="80" w:type="dxa"/>
              <w:bottom w:w="50" w:type="dxa"/>
              <w:end w:w="60" w:type="dxa"/>
            </w:tcMar>
          </w:tcPr>
          <w:p>
            <w:r>
              <w:rPr>
                <w:rFonts w:ascii="Aptos" w:hAnsi="Aptos"/>
                <w:b w:val="0"/>
                <w:color w:val="334155"/>
                <w:sz w:val="18"/>
              </w:rPr>
              <w:t>AWS, AWS Organizations, Control Tower, IAM Identity Center / SSO</w:t>
            </w:r>
          </w:p>
        </w:tc>
      </w:tr>
      <w:tr>
        <w:tc>
          <w:tcPr>
            <w:tcW w:type="dxa" w:w="2232"/>
            <w:tcMar>
              <w:top w:w="50" w:type="dxa"/>
              <w:start w:w="60" w:type="dxa"/>
              <w:bottom w:w="50" w:type="dxa"/>
              <w:end w:w="80" w:type="dxa"/>
            </w:tcMar>
          </w:tcPr>
          <w:p>
            <w:r>
              <w:rPr>
                <w:rFonts w:ascii="Aptos" w:hAnsi="Aptos"/>
                <w:b/>
                <w:color w:val="0F172A"/>
                <w:sz w:val="18"/>
              </w:rPr>
              <w:t>Infrastructure as Code</w:t>
            </w:r>
          </w:p>
        </w:tc>
        <w:tc>
          <w:tcPr>
            <w:tcW w:type="dxa" w:w="8208"/>
            <w:tcMar>
              <w:top w:w="50" w:type="dxa"/>
              <w:start w:w="80" w:type="dxa"/>
              <w:bottom w:w="50" w:type="dxa"/>
              <w:end w:w="60" w:type="dxa"/>
            </w:tcMar>
          </w:tcPr>
          <w:p>
            <w:r>
              <w:rPr>
                <w:rFonts w:ascii="Aptos" w:hAnsi="Aptos"/>
                <w:b w:val="0"/>
                <w:color w:val="334155"/>
                <w:sz w:val="18"/>
              </w:rPr>
              <w:t>Terraform, AWS CDK, CloudFormation</w:t>
            </w:r>
          </w:p>
        </w:tc>
      </w:tr>
      <w:tr>
        <w:tc>
          <w:tcPr>
            <w:tcW w:type="dxa" w:w="2232"/>
            <w:tcMar>
              <w:top w:w="50" w:type="dxa"/>
              <w:start w:w="60" w:type="dxa"/>
              <w:bottom w:w="50" w:type="dxa"/>
              <w:end w:w="80" w:type="dxa"/>
            </w:tcMar>
          </w:tcPr>
          <w:p>
            <w:r>
              <w:rPr>
                <w:rFonts w:ascii="Aptos" w:hAnsi="Aptos"/>
                <w:b/>
                <w:color w:val="0F172A"/>
                <w:sz w:val="18"/>
              </w:rPr>
              <w:t>Containers and Compute</w:t>
            </w:r>
          </w:p>
        </w:tc>
        <w:tc>
          <w:tcPr>
            <w:tcW w:type="dxa" w:w="8208"/>
            <w:tcMar>
              <w:top w:w="50" w:type="dxa"/>
              <w:start w:w="80" w:type="dxa"/>
              <w:bottom w:w="50" w:type="dxa"/>
              <w:end w:w="60" w:type="dxa"/>
            </w:tcMar>
          </w:tcPr>
          <w:p>
            <w:r>
              <w:rPr>
                <w:rFonts w:ascii="Aptos" w:hAnsi="Aptos"/>
                <w:b w:val="0"/>
                <w:color w:val="334155"/>
                <w:sz w:val="18"/>
              </w:rPr>
              <w:t>ECS, Fargate, Lambda, Step Functions, EC2, SSM, Docker</w:t>
            </w:r>
          </w:p>
        </w:tc>
      </w:tr>
      <w:tr>
        <w:tc>
          <w:tcPr>
            <w:tcW w:type="dxa" w:w="2232"/>
            <w:tcMar>
              <w:top w:w="50" w:type="dxa"/>
              <w:start w:w="60" w:type="dxa"/>
              <w:bottom w:w="50" w:type="dxa"/>
              <w:end w:w="80" w:type="dxa"/>
            </w:tcMar>
          </w:tcPr>
          <w:p>
            <w:r>
              <w:rPr>
                <w:rFonts w:ascii="Aptos" w:hAnsi="Aptos"/>
                <w:b/>
                <w:color w:val="0F172A"/>
                <w:sz w:val="18"/>
              </w:rPr>
              <w:t>CI/CD and Automation</w:t>
            </w:r>
          </w:p>
        </w:tc>
        <w:tc>
          <w:tcPr>
            <w:tcW w:type="dxa" w:w="8208"/>
            <w:tcMar>
              <w:top w:w="50" w:type="dxa"/>
              <w:start w:w="80" w:type="dxa"/>
              <w:bottom w:w="50" w:type="dxa"/>
              <w:end w:w="60" w:type="dxa"/>
            </w:tcMar>
          </w:tcPr>
          <w:p>
            <w:r>
              <w:rPr>
                <w:rFonts w:ascii="Aptos" w:hAnsi="Aptos"/>
                <w:b w:val="0"/>
                <w:color w:val="334155"/>
                <w:sz w:val="18"/>
              </w:rPr>
              <w:t>GitLab CI, GitHub Actions, AWS CodePipeline, Python, Bash, JavaScript, TypeScript</w:t>
            </w:r>
          </w:p>
        </w:tc>
      </w:tr>
      <w:tr>
        <w:tc>
          <w:tcPr>
            <w:tcW w:type="dxa" w:w="2232"/>
            <w:tcMar>
              <w:top w:w="50" w:type="dxa"/>
              <w:start w:w="60" w:type="dxa"/>
              <w:bottom w:w="50" w:type="dxa"/>
              <w:end w:w="80" w:type="dxa"/>
            </w:tcMar>
          </w:tcPr>
          <w:p>
            <w:r>
              <w:rPr>
                <w:rFonts w:ascii="Aptos" w:hAnsi="Aptos"/>
                <w:b/>
                <w:color w:val="0F172A"/>
                <w:sz w:val="18"/>
              </w:rPr>
              <w:t>Security and Observability</w:t>
            </w:r>
          </w:p>
        </w:tc>
        <w:tc>
          <w:tcPr>
            <w:tcW w:type="dxa" w:w="8208"/>
            <w:tcMar>
              <w:top w:w="50" w:type="dxa"/>
              <w:start w:w="80" w:type="dxa"/>
              <w:bottom w:w="50" w:type="dxa"/>
              <w:end w:w="60" w:type="dxa"/>
            </w:tcMar>
          </w:tcPr>
          <w:p>
            <w:r>
              <w:rPr>
                <w:rFonts w:ascii="Aptos" w:hAnsi="Aptos"/>
                <w:b w:val="0"/>
                <w:color w:val="334155"/>
                <w:sz w:val="18"/>
              </w:rPr>
              <w:t>Security Hub, AWS Config, GuardDuty, Inspector, CloudWatch, Dynatrace, Sumo Logic, Cloudflare, AWS WAF, Vanta</w:t>
            </w:r>
          </w:p>
        </w:tc>
      </w:tr>
      <w:tr>
        <w:tc>
          <w:tcPr>
            <w:tcW w:type="dxa" w:w="2232"/>
            <w:tcMar>
              <w:top w:w="50" w:type="dxa"/>
              <w:start w:w="60" w:type="dxa"/>
              <w:bottom w:w="50" w:type="dxa"/>
              <w:end w:w="80" w:type="dxa"/>
            </w:tcMar>
          </w:tcPr>
          <w:p>
            <w:r>
              <w:rPr>
                <w:rFonts w:ascii="Aptos" w:hAnsi="Aptos"/>
                <w:b/>
                <w:color w:val="0F172A"/>
                <w:sz w:val="18"/>
              </w:rPr>
              <w:t>Platform Tooling</w:t>
            </w:r>
          </w:p>
        </w:tc>
        <w:tc>
          <w:tcPr>
            <w:tcW w:type="dxa" w:w="8208"/>
            <w:tcMar>
              <w:top w:w="50" w:type="dxa"/>
              <w:start w:w="80" w:type="dxa"/>
              <w:bottom w:w="50" w:type="dxa"/>
              <w:end w:w="60" w:type="dxa"/>
            </w:tcMar>
          </w:tcPr>
          <w:p>
            <w:r>
              <w:rPr>
                <w:rFonts w:ascii="Aptos" w:hAnsi="Aptos"/>
                <w:b w:val="0"/>
                <w:color w:val="334155"/>
                <w:sz w:val="18"/>
              </w:rPr>
              <w:t>Redis, OpenSearch, Nagios, ELK, Jenkins, Nexus, SVN</w:t>
            </w:r>
          </w:p>
        </w:tc>
      </w:tr>
    </w:tbl>
    <w:p/>
    <w:p>
      <w:pPr>
        <w:spacing w:before="120" w:after="60"/>
        <w:pBdr>
          <w:bottom w:val="single" w:sz="6" w:space="1" w:color="E2E8F0"/>
        </w:pBdr>
      </w:pPr>
      <w:r>
        <w:rPr>
          <w:rFonts w:ascii="Aptos" w:hAnsi="Aptos"/>
          <w:b/>
          <w:color w:val="A37A2C"/>
          <w:sz w:val="18"/>
        </w:rPr>
        <w:t>PROFESSIONAL EXPERIENCE</w:t>
      </w:r>
    </w:p>
    <w:p>
      <w:pPr>
        <w:spacing w:before="100" w:after="20"/>
      </w:pPr>
      <w:r>
        <w:rPr>
          <w:rFonts w:ascii="Aptos" w:hAnsi="Aptos"/>
          <w:b/>
          <w:color w:val="0F172A"/>
          <w:sz w:val="22"/>
        </w:rPr>
        <w:t>Squiz | Senior DevOps Engineer</w:t>
      </w:r>
    </w:p>
    <w:p>
      <w:pPr>
        <w:spacing w:after="40"/>
      </w:pPr>
      <w:r>
        <w:rPr>
          <w:rFonts w:ascii="Aptos" w:hAnsi="Aptos"/>
          <w:b w:val="0"/>
          <w:color w:val="64748B"/>
          <w:sz w:val="18"/>
        </w:rPr>
        <w:t>May 2024 – Present</w:t>
      </w:r>
    </w:p>
    <w:p>
      <w:pPr>
        <w:pStyle w:val="ListBullet"/>
        <w:spacing w:after="30" w:line="252" w:lineRule="auto"/>
      </w:pPr>
      <w:r>
        <w:rPr>
          <w:rFonts w:ascii="Aptos" w:hAnsi="Aptos"/>
          <w:b w:val="0"/>
          <w:color w:val="334155"/>
          <w:sz w:val="20"/>
        </w:rPr>
        <w:t>Own the internal AWS platform across a complex multi-account environment supporting shared and client-facing workloads.</w:t>
      </w:r>
    </w:p>
    <w:p>
      <w:pPr>
        <w:pStyle w:val="ListBullet"/>
        <w:spacing w:after="30" w:line="252" w:lineRule="auto"/>
      </w:pPr>
      <w:r>
        <w:rPr>
          <w:rFonts w:ascii="Aptos" w:hAnsi="Aptos"/>
          <w:b w:val="0"/>
          <w:color w:val="334155"/>
          <w:sz w:val="20"/>
        </w:rPr>
        <w:t>Lead platform work across governance, compliance, workload modernisation, and cross-team delivery planning.</w:t>
      </w:r>
    </w:p>
    <w:p>
      <w:pPr>
        <w:pStyle w:val="ListBullet"/>
        <w:spacing w:after="30" w:line="252" w:lineRule="auto"/>
      </w:pPr>
      <w:r>
        <w:rPr>
          <w:rFonts w:ascii="Aptos" w:hAnsi="Aptos"/>
          <w:b w:val="0"/>
          <w:color w:val="334155"/>
          <w:sz w:val="20"/>
        </w:rPr>
        <w:t>Built biweekly reporting and alerting workflows that gave product owners a clearer remediation path and improved audit readiness.</w:t>
      </w:r>
    </w:p>
    <w:p>
      <w:pPr>
        <w:pStyle w:val="ListBullet"/>
        <w:spacing w:after="30" w:line="252" w:lineRule="auto"/>
      </w:pPr>
      <w:r>
        <w:rPr>
          <w:rFonts w:ascii="Aptos" w:hAnsi="Aptos"/>
          <w:b w:val="0"/>
          <w:color w:val="334155"/>
          <w:sz w:val="20"/>
        </w:rPr>
        <w:t>Reworked governance controls and guardrails to improve consistency and compliance execution.</w:t>
      </w:r>
    </w:p>
    <w:p>
      <w:pPr>
        <w:pStyle w:val="ListBullet"/>
        <w:spacing w:after="30" w:line="252" w:lineRule="auto"/>
      </w:pPr>
      <w:r>
        <w:rPr>
          <w:rFonts w:ascii="Aptos" w:hAnsi="Aptos"/>
          <w:b w:val="0"/>
          <w:color w:val="334155"/>
          <w:sz w:val="20"/>
        </w:rPr>
        <w:t>Moved heavy crawler workloads into event-driven ECS standalone tasks to improve isolation, scaling, and maintainability.</w:t>
      </w:r>
    </w:p>
    <w:p>
      <w:pPr>
        <w:pStyle w:val="ListBullet"/>
        <w:spacing w:after="30" w:line="252" w:lineRule="auto"/>
      </w:pPr>
      <w:r>
        <w:rPr>
          <w:rFonts w:ascii="Aptos" w:hAnsi="Aptos"/>
          <w:b w:val="0"/>
          <w:color w:val="334155"/>
          <w:sz w:val="20"/>
        </w:rPr>
        <w:t>Reduced reliance on oversized always-on compute by modernising crawler, distributor, and gatherer workloads.</w:t>
      </w:r>
    </w:p>
    <w:p>
      <w:pPr>
        <w:pStyle w:val="ListBullet"/>
        <w:spacing w:after="30" w:line="252" w:lineRule="auto"/>
      </w:pPr>
      <w:r>
        <w:rPr>
          <w:rFonts w:ascii="Aptos" w:hAnsi="Aptos"/>
          <w:b w:val="0"/>
          <w:color w:val="334155"/>
          <w:sz w:val="20"/>
        </w:rPr>
        <w:t>Designed an automated AMI lifecycle for ECS worker infrastructure to standardise rollout and reduce manual maintenance.</w:t>
      </w:r>
    </w:p>
    <w:p>
      <w:pPr>
        <w:pStyle w:val="ListBullet"/>
        <w:spacing w:after="30" w:line="252" w:lineRule="auto"/>
      </w:pPr>
      <w:r>
        <w:rPr>
          <w:rFonts w:ascii="Aptos" w:hAnsi="Aptos"/>
          <w:b w:val="0"/>
          <w:color w:val="334155"/>
          <w:sz w:val="20"/>
        </w:rPr>
        <w:t>Managed commitment optimisation work that delivered material annual savings while maintaining strong utilisation.</w:t>
      </w:r>
    </w:p>
    <w:p>
      <w:pPr>
        <w:pStyle w:val="ListBullet"/>
        <w:spacing w:after="30" w:line="252" w:lineRule="auto"/>
      </w:pPr>
      <w:r>
        <w:rPr>
          <w:rFonts w:ascii="Aptos" w:hAnsi="Aptos"/>
          <w:b w:val="0"/>
          <w:color w:val="334155"/>
          <w:sz w:val="20"/>
        </w:rPr>
        <w:t>Led the AWS side of migration from data centre to AWS, including documentation, training, and handover.</w:t>
      </w:r>
    </w:p>
    <w:p>
      <w:pPr>
        <w:spacing w:before="100" w:after="20"/>
      </w:pPr>
      <w:r>
        <w:rPr>
          <w:rFonts w:ascii="Aptos" w:hAnsi="Aptos"/>
          <w:b/>
          <w:color w:val="0F172A"/>
          <w:sz w:val="22"/>
        </w:rPr>
        <w:t>Versent | DevOps Engineer</w:t>
      </w:r>
    </w:p>
    <w:p>
      <w:pPr>
        <w:spacing w:after="40"/>
      </w:pPr>
      <w:r>
        <w:rPr>
          <w:rFonts w:ascii="Aptos" w:hAnsi="Aptos"/>
          <w:b w:val="0"/>
          <w:color w:val="64748B"/>
          <w:sz w:val="18"/>
        </w:rPr>
        <w:t>Mar 2021 – Apr 2024</w:t>
      </w:r>
    </w:p>
    <w:p>
      <w:pPr>
        <w:pStyle w:val="ListBullet"/>
        <w:spacing w:after="30" w:line="252" w:lineRule="auto"/>
      </w:pPr>
      <w:r>
        <w:rPr>
          <w:rFonts w:ascii="Aptos" w:hAnsi="Aptos"/>
          <w:b w:val="0"/>
          <w:color w:val="334155"/>
          <w:sz w:val="20"/>
        </w:rPr>
        <w:t>Delivered cloud platform, automation, and reliability improvements across enterprise client environments.</w:t>
      </w:r>
    </w:p>
    <w:p>
      <w:pPr>
        <w:pStyle w:val="ListBullet"/>
        <w:spacing w:after="30" w:line="252" w:lineRule="auto"/>
      </w:pPr>
      <w:r>
        <w:rPr>
          <w:rFonts w:ascii="Aptos" w:hAnsi="Aptos"/>
          <w:b w:val="0"/>
          <w:color w:val="334155"/>
          <w:sz w:val="20"/>
        </w:rPr>
        <w:t>Built reusable deployment tooling and automation modules that reduced manual effort across reporting, updates, alarms, and routine operations.</w:t>
      </w:r>
    </w:p>
    <w:p>
      <w:pPr>
        <w:pStyle w:val="ListBullet"/>
        <w:spacing w:after="30" w:line="252" w:lineRule="auto"/>
      </w:pPr>
      <w:r>
        <w:rPr>
          <w:rFonts w:ascii="Aptos" w:hAnsi="Aptos"/>
          <w:b w:val="0"/>
          <w:color w:val="334155"/>
          <w:sz w:val="20"/>
        </w:rPr>
        <w:t>Contributed to a containerised DevOps toolbox that let engineers work safely across multiple client estates.</w:t>
      </w:r>
    </w:p>
    <w:p>
      <w:pPr>
        <w:pStyle w:val="ListBullet"/>
        <w:spacing w:after="30" w:line="252" w:lineRule="auto"/>
      </w:pPr>
      <w:r>
        <w:rPr>
          <w:rFonts w:ascii="Aptos" w:hAnsi="Aptos"/>
          <w:b w:val="0"/>
          <w:color w:val="334155"/>
          <w:sz w:val="20"/>
        </w:rPr>
        <w:t>Built an API canary capability to monitor private HTTPS endpoints inside a VPC and surface failures earlier.</w:t>
      </w:r>
    </w:p>
    <w:p>
      <w:pPr>
        <w:pStyle w:val="ListBullet"/>
        <w:spacing w:after="30" w:line="252" w:lineRule="auto"/>
      </w:pPr>
      <w:r>
        <w:rPr>
          <w:rFonts w:ascii="Aptos" w:hAnsi="Aptos"/>
          <w:b w:val="0"/>
          <w:color w:val="334155"/>
          <w:sz w:val="20"/>
        </w:rPr>
        <w:t>Designed and implemented a serverless anti-virus solution using Trend Cloud One for a state-level registry and land services provider.</w:t>
      </w:r>
    </w:p>
    <w:p>
      <w:pPr>
        <w:pStyle w:val="ListBullet"/>
        <w:spacing w:after="30" w:line="252" w:lineRule="auto"/>
      </w:pPr>
      <w:r>
        <w:rPr>
          <w:rFonts w:ascii="Aptos" w:hAnsi="Aptos"/>
          <w:b w:val="0"/>
          <w:color w:val="334155"/>
          <w:sz w:val="20"/>
        </w:rPr>
        <w:t>Led migration from legacy email infrastructure to AWS SES with stronger security, sender reputation monitoring, and cleaner operations.</w:t>
      </w:r>
    </w:p>
    <w:p>
      <w:pPr>
        <w:pStyle w:val="ListBullet"/>
        <w:spacing w:after="30" w:line="252" w:lineRule="auto"/>
      </w:pPr>
      <w:r>
        <w:rPr>
          <w:rFonts w:ascii="Aptos" w:hAnsi="Aptos"/>
          <w:b w:val="0"/>
          <w:color w:val="334155"/>
          <w:sz w:val="20"/>
        </w:rPr>
        <w:t>Reduced website dropouts for Australian Museum from roughly 20 per day to zero through targeted performance and architecture changes.</w:t>
      </w:r>
    </w:p>
    <w:p>
      <w:pPr>
        <w:pStyle w:val="ListBullet"/>
        <w:spacing w:after="30" w:line="252" w:lineRule="auto"/>
      </w:pPr>
      <w:r>
        <w:rPr>
          <w:rFonts w:ascii="Aptos" w:hAnsi="Aptos"/>
          <w:b w:val="0"/>
          <w:color w:val="334155"/>
          <w:sz w:val="20"/>
        </w:rPr>
        <w:t>Tuned OpenSearch and Redis workloads to improve responsiveness, maintainability, and operational support.</w:t>
      </w:r>
    </w:p>
    <w:p>
      <w:pPr>
        <w:pStyle w:val="ListBullet"/>
        <w:spacing w:after="30" w:line="252" w:lineRule="auto"/>
      </w:pPr>
      <w:r>
        <w:rPr>
          <w:rFonts w:ascii="Aptos" w:hAnsi="Aptos"/>
          <w:b w:val="0"/>
          <w:color w:val="334155"/>
          <w:sz w:val="20"/>
        </w:rPr>
        <w:t>Built CI/CD pipelines using GitHub Actions and ECS runners with OIDC-based short-lived AWS access.</w:t>
      </w:r>
    </w:p>
    <w:p>
      <w:pPr>
        <w:pStyle w:val="ListBullet"/>
        <w:spacing w:after="30" w:line="252" w:lineRule="auto"/>
      </w:pPr>
      <w:r>
        <w:rPr>
          <w:rFonts w:ascii="Aptos" w:hAnsi="Aptos"/>
          <w:b w:val="0"/>
          <w:color w:val="334155"/>
          <w:sz w:val="20"/>
        </w:rPr>
        <w:t>Delivered client training, handover documentation, and transition support so new systems could be operated cleanly after delivery.</w:t>
      </w:r>
    </w:p>
    <w:p>
      <w:pPr>
        <w:spacing w:before="100" w:after="20"/>
      </w:pPr>
      <w:r>
        <w:rPr>
          <w:rFonts w:ascii="Aptos" w:hAnsi="Aptos"/>
          <w:b/>
          <w:color w:val="0F172A"/>
          <w:sz w:val="22"/>
        </w:rPr>
        <w:t>AXE Group | Junior DevSecOps Engineer</w:t>
      </w:r>
    </w:p>
    <w:p>
      <w:pPr>
        <w:spacing w:after="40"/>
      </w:pPr>
      <w:r>
        <w:rPr>
          <w:rFonts w:ascii="Aptos" w:hAnsi="Aptos"/>
          <w:b w:val="0"/>
          <w:color w:val="64748B"/>
          <w:sz w:val="18"/>
        </w:rPr>
        <w:t>Jan 2020 – Feb 2021</w:t>
      </w:r>
    </w:p>
    <w:p>
      <w:pPr>
        <w:pStyle w:val="ListBullet"/>
        <w:spacing w:after="30" w:line="252" w:lineRule="auto"/>
      </w:pPr>
      <w:r>
        <w:rPr>
          <w:rFonts w:ascii="Aptos" w:hAnsi="Aptos"/>
          <w:b w:val="0"/>
          <w:color w:val="334155"/>
          <w:sz w:val="20"/>
        </w:rPr>
        <w:t>Automated application deployments, Linux configuration, and security-related operational tasks.</w:t>
      </w:r>
    </w:p>
    <w:p>
      <w:pPr>
        <w:pStyle w:val="ListBullet"/>
        <w:spacing w:after="30" w:line="252" w:lineRule="auto"/>
      </w:pPr>
      <w:r>
        <w:rPr>
          <w:rFonts w:ascii="Aptos" w:hAnsi="Aptos"/>
          <w:b w:val="0"/>
          <w:color w:val="334155"/>
          <w:sz w:val="20"/>
        </w:rPr>
        <w:t>Maintained Ansible playbooks and deployment workflows for Linux-based platforms.</w:t>
      </w:r>
    </w:p>
    <w:p>
      <w:pPr>
        <w:pStyle w:val="ListBullet"/>
        <w:spacing w:after="30" w:line="252" w:lineRule="auto"/>
      </w:pPr>
      <w:r>
        <w:rPr>
          <w:rFonts w:ascii="Aptos" w:hAnsi="Aptos"/>
          <w:b w:val="0"/>
          <w:color w:val="334155"/>
          <w:sz w:val="20"/>
        </w:rPr>
        <w:t>Built Shell, Bash, and PowerShell tooling for environment management and deployment support.</w:t>
      </w:r>
    </w:p>
    <w:p>
      <w:pPr>
        <w:pStyle w:val="ListBullet"/>
        <w:spacing w:after="30" w:line="252" w:lineRule="auto"/>
      </w:pPr>
      <w:r>
        <w:rPr>
          <w:rFonts w:ascii="Aptos" w:hAnsi="Aptos"/>
          <w:b w:val="0"/>
          <w:color w:val="334155"/>
          <w:sz w:val="20"/>
        </w:rPr>
        <w:t>Improved monitoring through development and maintenance of Nagios plugins.</w:t>
      </w:r>
    </w:p>
    <w:p>
      <w:pPr>
        <w:spacing w:before="100" w:after="20"/>
      </w:pPr>
      <w:r>
        <w:rPr>
          <w:rFonts w:ascii="Aptos" w:hAnsi="Aptos"/>
          <w:b/>
          <w:color w:val="0F172A"/>
          <w:sz w:val="22"/>
        </w:rPr>
        <w:t>OpenMRS | Junior DevOps Engineer</w:t>
      </w:r>
    </w:p>
    <w:p>
      <w:pPr>
        <w:spacing w:after="40"/>
      </w:pPr>
      <w:r>
        <w:rPr>
          <w:rFonts w:ascii="Aptos" w:hAnsi="Aptos"/>
          <w:b w:val="0"/>
          <w:color w:val="64748B"/>
          <w:sz w:val="18"/>
        </w:rPr>
        <w:t>Apr 2019 – Feb 2020</w:t>
      </w:r>
    </w:p>
    <w:p>
      <w:pPr>
        <w:pStyle w:val="ListBullet"/>
        <w:spacing w:after="30" w:line="252" w:lineRule="auto"/>
      </w:pPr>
      <w:r>
        <w:rPr>
          <w:rFonts w:ascii="Aptos" w:hAnsi="Aptos"/>
          <w:b w:val="0"/>
          <w:color w:val="334155"/>
          <w:sz w:val="20"/>
        </w:rPr>
        <w:t>Supported infrastructure and platform operations for the OpenMRS open-source community.</w:t>
      </w:r>
    </w:p>
    <w:p>
      <w:pPr>
        <w:spacing w:before="120" w:after="60"/>
        <w:pBdr>
          <w:bottom w:val="single" w:sz="6" w:space="1" w:color="E2E8F0"/>
        </w:pBdr>
      </w:pPr>
      <w:r>
        <w:rPr>
          <w:rFonts w:ascii="Aptos" w:hAnsi="Aptos"/>
          <w:b/>
          <w:color w:val="A37A2C"/>
          <w:sz w:val="18"/>
        </w:rPr>
        <w:t>CONTRACTING POSITIONING</w:t>
      </w:r>
    </w:p>
    <w:p>
      <w:pPr>
        <w:pStyle w:val="ListBullet"/>
        <w:spacing w:after="30" w:line="252" w:lineRule="auto"/>
      </w:pPr>
      <w:r>
        <w:rPr>
          <w:rFonts w:ascii="Aptos" w:hAnsi="Aptos"/>
          <w:b w:val="0"/>
          <w:color w:val="334155"/>
          <w:sz w:val="20"/>
        </w:rPr>
        <w:t>Strong fit for platform governance uplift, modernisation, automation improvement, and cost reduction work.</w:t>
      </w:r>
    </w:p>
    <w:p>
      <w:pPr>
        <w:pStyle w:val="ListBullet"/>
        <w:spacing w:after="30" w:line="252" w:lineRule="auto"/>
      </w:pPr>
      <w:r>
        <w:rPr>
          <w:rFonts w:ascii="Aptos" w:hAnsi="Aptos"/>
          <w:b w:val="0"/>
          <w:color w:val="334155"/>
          <w:sz w:val="20"/>
        </w:rPr>
        <w:t>Most credible in AWS-heavy environments that need practical delivery rather than theory-only architecture.</w:t>
      </w:r>
    </w:p>
    <w:p>
      <w:pPr>
        <w:pStyle w:val="ListBullet"/>
        <w:spacing w:after="30" w:line="252" w:lineRule="auto"/>
      </w:pPr>
      <w:r>
        <w:rPr>
          <w:rFonts w:ascii="Aptos" w:hAnsi="Aptos"/>
          <w:b w:val="0"/>
          <w:color w:val="334155"/>
          <w:sz w:val="20"/>
        </w:rPr>
        <w:t>Less suited to contracts where deep Kubernetes specialism is the main value proposition.</w:t>
      </w:r>
    </w:p>
    <w:p>
      <w:pPr>
        <w:spacing w:before="120" w:after="60"/>
        <w:pBdr>
          <w:bottom w:val="single" w:sz="6" w:space="1" w:color="E2E8F0"/>
        </w:pBdr>
      </w:pPr>
      <w:r>
        <w:rPr>
          <w:rFonts w:ascii="Aptos" w:hAnsi="Aptos"/>
          <w:b/>
          <w:color w:val="A37A2C"/>
          <w:sz w:val="18"/>
        </w:rPr>
        <w:t>EDUCATION</w:t>
      </w:r>
    </w:p>
    <w:p>
      <w:pPr>
        <w:spacing w:after="40" w:line="276" w:lineRule="auto"/>
      </w:pPr>
      <w:r>
        <w:rPr>
          <w:rFonts w:ascii="Aptos" w:hAnsi="Aptos"/>
          <w:b w:val="0"/>
          <w:color w:val="334155"/>
          <w:sz w:val="20"/>
        </w:rPr>
        <w:t>Bachelor’s Degree in Architecture, Damascus University | 2009 – 2014</w:t>
      </w:r>
    </w:p>
    <w:sectPr w:rsidR="00FC693F" w:rsidRPr="0006063C" w:rsidSect="00034616">
      <w:pgSz w:w="11909" w:h="16834"/>
      <w:pgMar w:top="648" w:right="792" w:bottom="648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